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heading=h.a2p63yuxqik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24, 2025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 IMMEDIATE RELEASE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Madison Ball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 WINNERS IN THE CONDUCT OF CHAPTER MEETINGS LEADERSHIP DEVELOPMENT EVENT RECOGNIZED AT THE 97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GEORGIA FFA STATE CONVENTION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MACON, Ga. – Winners of the Conduct of Chapter Meetings Leadership Development Event (LDE) were recognized at the 97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Georgia FFA State Convention held at the Macon Centreplex on April 24-26, 2025. 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Pine Grove Middle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placed first in the LDE competition, followed by Gilmer County, CA Gray Junior High, and Mossy Creek Middle finishing second, third, and fourth respectively. 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CDE and LDE awards are granted to FFA members and teams who have exhibited premier leadership, personal growth, and career success in a variety of competitions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The Conduct of Chapter Meetings LDE tests a team of seven students’ knowledge of parliamentary law through a three-phase competition: written examination, oral questions, and parliamentary presentation including opening and closing ceremonies.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Conduct of Chapter Meeting LDE was sponsored on the state level by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ADM/Golden Peanut &amp; Tree Nuts.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first-place winning team was awarded $3,500 travel money to attend the National FFA Convention. Additionally, the advisor of the state winning individual received a $100 cash award. 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National FFA Organization, formerly known as the Future Farmers of America, changed its name in 1988 to reflect the growth and diversity of agriculture. There are over 1 Million FFA members nationwide. The Georgia Association has more than 80,000 members, making it the third largest Association in the nation. The FFA makes a positive difference in the lives of students by developing their potential for premier leadership, personal growth, and career success, through agricultural education. 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###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Media Contact: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Katibeth Wise, (229) 254-4811, kwise@gaaged.org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9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05125" cy="11620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5125" cy="116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ih1njTiLAyo7YpL0xdikLpXyg==">CgMxLjAyDmguYTJwNjN5dXhxaWtnMghoLmdqZGd4czIJaC4zMGowemxsOAByITFwNVU5eXgzdGJNRHRCbkZaTk1Nd1ZBRVZiREJWOE1FYg==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