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April 24, 2025</w:t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By Madison Ball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 WINNERS IN THE MARKETING PLAN CAREER DEVELOPMENT EVENT RECOGNIZED AT THE 97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GEORGIA FFA STATE CONVENTION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MACON, Ga. – Winners of the Marketing Plan Career Development Event (CDE) were recognized at the 97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Georgia FFA State Convention held at the Macon Centreplex on April 24-26, 2025.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Gilmer County placed first in the CDE competition, followed by Taliaferro, Eastside, Pickens County finishing second, third, and fourth respectively.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CDE awards are granted to FFA members and teams who have exhibited premier leadership, personal growth, and career success in a variety of competitions. The Marketing Plan CDE is a team event designed to develop an understanding of the marketing plan process and to allow students to explore and prepare for possible careers in agrimarketing. Additionally, students research and present a marketing plan for an agricultural product, supply, or service.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Marketing Plan Career Development Event was sponsored at the state level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Georgia Cooperative Council.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winning team was awarded $1,500 travel money to attend the National FFA Convention. Additionally, the advisor of the state winning team received a $100 cash award.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National FFA Organization, formerly known as the Future Farmers of America, changed its name in 1988 to reflect the growth and diversity of agriculture. There are over 1 Million FFA members nationwide. The Georgia Association has more than 80,000 members, making it the third largest Association in the nation. The FFA makes a positive difference in the lives of students by developing their potential for premier leadership, personal growth, and career success, through agricultural education.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###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 Contact: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Katibeth Wise, (229) 254-4811, kwise@gaaged.org </w:t>
      </w:r>
    </w:p>
    <w:sectPr>
      <w:headerReference r:id="rId7" w:type="default"/>
      <w:pgSz w:h="15840" w:w="12240" w:orient="portrait"/>
      <w:pgMar w:bottom="90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348038" cy="133757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038" cy="13375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15D9"/>
    <w:rPr>
      <w:rFonts w:ascii="Cambria" w:eastAsia="Cambria" w:hAnsi="Cambria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15D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515D9"/>
    <w:rPr>
      <w:rFonts w:ascii="Tahoma" w:cs="Tahoma" w:eastAsia="Cambri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FF6016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FF6016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F6016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FF6016"/>
    <w:rPr>
      <w:rFonts w:ascii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rtZHg90xTodgkQtYtjoRc5Hrg==">CgMxLjAyCGguZ2pkZ3hzOAByITFYQmJVMzVWdEFabmpta3ZjUDl0UURjUWZyX1lfaGVERg==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2019-04-24T21:39:00Z</dcterms:created>
  <dc:creator>Natalie</dc:creator>
</cp:coreProperties>
</file>